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5CCE" w14:textId="77777777" w:rsidR="009D08F3" w:rsidRDefault="00DE178D" w:rsidP="00706CD4">
      <w:pPr>
        <w:spacing w:before="120" w:after="120" w:line="360" w:lineRule="auto"/>
        <w:rPr>
          <w:rFonts w:ascii="Arial" w:hAnsi="Arial" w:cs="Arial"/>
          <w:b/>
          <w:bCs/>
          <w:sz w:val="28"/>
          <w:szCs w:val="28"/>
        </w:rPr>
      </w:pPr>
      <w:r>
        <w:rPr>
          <w:rFonts w:ascii="Arial" w:hAnsi="Arial" w:cs="Arial"/>
          <w:b/>
          <w:bCs/>
          <w:noProof/>
          <w:sz w:val="28"/>
          <w:szCs w:val="28"/>
          <w:lang w:eastAsia="en-GB"/>
        </w:rPr>
        <w:drawing>
          <wp:anchor distT="36576" distB="36576" distL="36576" distR="36576" simplePos="0" relativeHeight="251659264" behindDoc="0" locked="0" layoutInCell="1" allowOverlap="1" wp14:anchorId="04E25CF6" wp14:editId="04E25CF7">
            <wp:simplePos x="0" y="0"/>
            <wp:positionH relativeFrom="column">
              <wp:posOffset>5252720</wp:posOffset>
            </wp:positionH>
            <wp:positionV relativeFrom="paragraph">
              <wp:posOffset>-329565</wp:posOffset>
            </wp:positionV>
            <wp:extent cx="1085850" cy="7524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a:noFill/>
                    </a:ln>
                    <a:effectLst/>
                  </pic:spPr>
                </pic:pic>
              </a:graphicData>
            </a:graphic>
          </wp:anchor>
        </w:drawing>
      </w:r>
      <w:r w:rsidR="00D21A8C" w:rsidRPr="00977948">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04E25CCF" w14:textId="77777777" w:rsidR="0097771D" w:rsidRPr="00977948" w:rsidRDefault="0097771D" w:rsidP="00706CD4">
      <w:pPr>
        <w:spacing w:before="120" w:after="120" w:line="360" w:lineRule="auto"/>
        <w:rPr>
          <w:rFonts w:ascii="Arial" w:hAnsi="Arial" w:cs="Arial"/>
          <w:b/>
          <w:bCs/>
          <w:sz w:val="28"/>
          <w:szCs w:val="28"/>
        </w:rPr>
      </w:pPr>
    </w:p>
    <w:p w14:paraId="04E25CD0" w14:textId="77777777" w:rsidR="009B460E" w:rsidRPr="0049232B"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Pr>
          <w:b w:val="0"/>
          <w:sz w:val="22"/>
          <w:szCs w:val="22"/>
        </w:rPr>
        <w:t>01.1 to 01.22</w:t>
      </w:r>
      <w:r>
        <w:rPr>
          <w:b w:val="0"/>
          <w:sz w:val="22"/>
          <w:szCs w:val="22"/>
        </w:rPr>
        <w:t xml:space="preserve"> </w:t>
      </w:r>
      <w:r w:rsidR="006359AB">
        <w:rPr>
          <w:b w:val="0"/>
          <w:sz w:val="22"/>
          <w:szCs w:val="22"/>
        </w:rPr>
        <w:t>Health and safety</w:t>
      </w:r>
      <w:r w:rsidRPr="0049232B">
        <w:rPr>
          <w:b w:val="0"/>
          <w:sz w:val="22"/>
          <w:szCs w:val="22"/>
        </w:rPr>
        <w:t xml:space="preserve">, this policy was adopted by </w:t>
      </w:r>
      <w:r w:rsidR="00510031">
        <w:rPr>
          <w:b w:val="0"/>
          <w:i/>
          <w:iCs/>
          <w:sz w:val="22"/>
          <w:szCs w:val="22"/>
        </w:rPr>
        <w:t>Tree Tots Pre-</w:t>
      </w:r>
      <w:proofErr w:type="gramStart"/>
      <w:r w:rsidR="00510031">
        <w:rPr>
          <w:b w:val="0"/>
          <w:i/>
          <w:iCs/>
          <w:sz w:val="22"/>
          <w:szCs w:val="22"/>
        </w:rPr>
        <w:t xml:space="preserve">school </w:t>
      </w:r>
      <w:r w:rsidRPr="0049232B">
        <w:rPr>
          <w:b w:val="0"/>
          <w:sz w:val="22"/>
          <w:szCs w:val="22"/>
        </w:rPr>
        <w:t xml:space="preserve"> on</w:t>
      </w:r>
      <w:proofErr w:type="gramEnd"/>
      <w:r w:rsidRPr="0049232B">
        <w:rPr>
          <w:b w:val="0"/>
          <w:sz w:val="22"/>
          <w:szCs w:val="22"/>
        </w:rPr>
        <w:t xml:space="preserve"> </w:t>
      </w:r>
      <w:r w:rsidR="00510031">
        <w:rPr>
          <w:b w:val="0"/>
          <w:i/>
          <w:iCs/>
          <w:sz w:val="22"/>
          <w:szCs w:val="22"/>
        </w:rPr>
        <w:t>1</w:t>
      </w:r>
      <w:r w:rsidR="00510031" w:rsidRPr="00510031">
        <w:rPr>
          <w:b w:val="0"/>
          <w:i/>
          <w:iCs/>
          <w:sz w:val="22"/>
          <w:szCs w:val="22"/>
          <w:vertAlign w:val="superscript"/>
        </w:rPr>
        <w:t>st</w:t>
      </w:r>
      <w:r w:rsidR="00510031">
        <w:rPr>
          <w:b w:val="0"/>
          <w:i/>
          <w:iCs/>
          <w:sz w:val="22"/>
          <w:szCs w:val="22"/>
        </w:rPr>
        <w:t xml:space="preserve"> September 2021.</w:t>
      </w:r>
    </w:p>
    <w:p w14:paraId="04E25CD1" w14:textId="77777777" w:rsidR="009D08F3" w:rsidRPr="00702BF1" w:rsidRDefault="009D08F3" w:rsidP="00706CD4">
      <w:pPr>
        <w:pStyle w:val="Heading1"/>
        <w:spacing w:before="120" w:after="120" w:line="360" w:lineRule="auto"/>
        <w:rPr>
          <w:b w:val="0"/>
          <w:sz w:val="22"/>
          <w:szCs w:val="22"/>
        </w:rPr>
      </w:pPr>
      <w:r w:rsidRPr="00702BF1">
        <w:rPr>
          <w:sz w:val="22"/>
          <w:szCs w:val="22"/>
        </w:rPr>
        <w:t>Designated Health and Safety Officer</w:t>
      </w:r>
      <w:r w:rsidR="00510031">
        <w:rPr>
          <w:sz w:val="22"/>
          <w:szCs w:val="22"/>
        </w:rPr>
        <w:t>s are</w:t>
      </w:r>
      <w:r w:rsidR="007035B0" w:rsidRPr="00702BF1">
        <w:rPr>
          <w:sz w:val="22"/>
          <w:szCs w:val="22"/>
        </w:rPr>
        <w:t>:</w:t>
      </w:r>
      <w:r w:rsidRPr="00702BF1">
        <w:rPr>
          <w:sz w:val="22"/>
          <w:szCs w:val="22"/>
        </w:rPr>
        <w:t xml:space="preserve"> </w:t>
      </w:r>
      <w:r w:rsidR="00510031">
        <w:rPr>
          <w:b w:val="0"/>
          <w:bCs w:val="0"/>
          <w:sz w:val="22"/>
          <w:szCs w:val="22"/>
        </w:rPr>
        <w:t>Chelsey Hart and Lesley Hart</w:t>
      </w:r>
    </w:p>
    <w:p w14:paraId="04E25CD2"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04E25CD3" w14:textId="77777777" w:rsidR="009D08F3" w:rsidRPr="00702BF1" w:rsidRDefault="000E74E1" w:rsidP="00706CD4">
      <w:pPr>
        <w:spacing w:before="120" w:after="120" w:line="360" w:lineRule="auto"/>
        <w:rPr>
          <w:rFonts w:ascii="Arial" w:hAnsi="Arial" w:cs="Arial"/>
          <w:bCs/>
          <w:sz w:val="22"/>
          <w:szCs w:val="22"/>
        </w:rPr>
      </w:pPr>
      <w:r w:rsidRPr="00702BF1">
        <w:rPr>
          <w:rFonts w:ascii="Arial" w:hAnsi="Arial" w:cs="Arial"/>
          <w:bCs/>
          <w:sz w:val="22"/>
          <w:szCs w:val="22"/>
        </w:rPr>
        <w:t>Our provision 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04E25CD4"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04E25CD5" w14:textId="77777777"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4E25CD6"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04E25CD7"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04E25CD8"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is not allowed on the premises, both indoors and outdoors. If children use any public space that has been used for smoking,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do not smoke in their work clothes and are requested not to smoke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04E25CD9"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04E25CDA"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04E25CDB" w14:textId="77777777"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6F79E2">
        <w:rPr>
          <w:rFonts w:ascii="Arial" w:hAnsi="Arial" w:cs="Arial"/>
          <w:sz w:val="22"/>
          <w:szCs w:val="22"/>
        </w:rPr>
        <w:t>(01.1a Generic risk assessment)</w:t>
      </w:r>
      <w:r w:rsidR="006F79E2">
        <w:rPr>
          <w:rFonts w:ascii="Arial" w:hAnsi="Arial" w:cs="Arial"/>
          <w:sz w:val="22"/>
          <w:szCs w:val="22"/>
        </w:rPr>
        <w:t xml:space="preserve"> </w:t>
      </w:r>
      <w:r w:rsidR="002F3632" w:rsidRPr="006F79E2">
        <w:rPr>
          <w:rFonts w:ascii="Arial" w:hAnsi="Arial" w:cs="Arial"/>
          <w:sz w:val="22"/>
          <w:szCs w:val="22"/>
        </w:rPr>
        <w:t>and access audit</w:t>
      </w:r>
      <w:r w:rsidR="006F79E2" w:rsidRPr="006F79E2">
        <w:rPr>
          <w:rFonts w:ascii="Arial" w:hAnsi="Arial" w:cs="Arial"/>
          <w:sz w:val="22"/>
          <w:szCs w:val="22"/>
        </w:rPr>
        <w:t xml:space="preserve"> (01.1b Access audit form)</w:t>
      </w:r>
      <w:r w:rsidR="002F3632" w:rsidRPr="006F79E2">
        <w:rPr>
          <w:rFonts w:ascii="Arial" w:hAnsi="Arial" w:cs="Arial"/>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and the procedure is modified according to needs identified for the specific environment.</w:t>
      </w:r>
    </w:p>
    <w:p w14:paraId="04E25CDC" w14:textId="77777777"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04E25CDD"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4E25CDE"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04E25CDF"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lastRenderedPageBreak/>
        <w:t>Health and Safety (Consultation with Employees) Regulations 1996</w:t>
      </w:r>
    </w:p>
    <w:p w14:paraId="04E25CE0"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(1992)</w:t>
      </w:r>
    </w:p>
    <w:p w14:paraId="04E25CE1"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04E25CE2"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04E25CE3"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04E25CE4"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4E25CE5"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04E25CE6"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4E25CE7"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04E25C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04E25CE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4E25CEA" w14:textId="77777777"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04E25CEB" w14:textId="77777777" w:rsidR="00AA49D0" w:rsidRPr="00702BF1" w:rsidRDefault="0023678D" w:rsidP="00706CD4">
      <w:pPr>
        <w:spacing w:before="120" w:after="120" w:line="360" w:lineRule="auto"/>
        <w:rPr>
          <w:rFonts w:ascii="Arial" w:hAnsi="Arial" w:cs="Arial"/>
          <w:sz w:val="22"/>
          <w:szCs w:val="22"/>
        </w:rPr>
      </w:pPr>
      <w:r w:rsidRPr="00702BF1">
        <w:rPr>
          <w:rFonts w:ascii="Arial" w:hAnsi="Arial" w:cs="Arial"/>
          <w:sz w:val="22"/>
          <w:szCs w:val="22"/>
        </w:rPr>
        <w:t>Dynamic Risk Management in the Early Years (Alliance 2017)</w:t>
      </w:r>
    </w:p>
    <w:p w14:paraId="04E25CEC" w14:textId="77777777"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04E25CED"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04E25CEE" w14:textId="77777777" w:rsidR="00BC3A83" w:rsidRDefault="00513710" w:rsidP="00706CD4">
      <w:pPr>
        <w:spacing w:before="120" w:after="120" w:line="360" w:lineRule="auto"/>
        <w:rPr>
          <w:rFonts w:ascii="Arial" w:hAnsi="Arial" w:cs="Arial"/>
          <w:sz w:val="22"/>
          <w:szCs w:val="22"/>
        </w:rPr>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p w14:paraId="04E25CEF" w14:textId="77777777" w:rsidR="00BC3A83" w:rsidRPr="00BC3A83" w:rsidRDefault="00BC3A83" w:rsidP="00BC3A83">
      <w:pPr>
        <w:rPr>
          <w:rFonts w:ascii="Arial" w:hAnsi="Arial" w:cs="Arial"/>
          <w:sz w:val="22"/>
          <w:szCs w:val="22"/>
        </w:rPr>
      </w:pPr>
    </w:p>
    <w:p w14:paraId="04E25CF0" w14:textId="77777777" w:rsidR="00BC3A83" w:rsidRPr="00BC3A83" w:rsidRDefault="00BC3A83" w:rsidP="00BC3A83">
      <w:pPr>
        <w:rPr>
          <w:rFonts w:ascii="Arial" w:hAnsi="Arial" w:cs="Arial"/>
          <w:sz w:val="22"/>
          <w:szCs w:val="22"/>
        </w:rPr>
      </w:pPr>
    </w:p>
    <w:p w14:paraId="04E25CF1" w14:textId="77777777" w:rsidR="00BC3A83" w:rsidRPr="00BC3A83" w:rsidRDefault="00BC3A83" w:rsidP="00BC3A83">
      <w:pPr>
        <w:rPr>
          <w:rFonts w:ascii="Arial" w:hAnsi="Arial" w:cs="Arial"/>
          <w:sz w:val="22"/>
          <w:szCs w:val="22"/>
        </w:rPr>
      </w:pPr>
    </w:p>
    <w:p w14:paraId="04E25CF2" w14:textId="77777777" w:rsidR="00BC3A83" w:rsidRPr="00BC3A83" w:rsidRDefault="00BC3A83" w:rsidP="00BC3A83">
      <w:pPr>
        <w:rPr>
          <w:rFonts w:ascii="Arial" w:hAnsi="Arial" w:cs="Arial"/>
          <w:sz w:val="22"/>
          <w:szCs w:val="22"/>
        </w:rPr>
      </w:pPr>
    </w:p>
    <w:p w14:paraId="04E25CF3" w14:textId="77777777" w:rsidR="00BC3A83" w:rsidRDefault="00BC3A83" w:rsidP="00BC3A83">
      <w:pPr>
        <w:rPr>
          <w:rFonts w:ascii="Arial" w:hAnsi="Arial" w:cs="Arial"/>
          <w:sz w:val="22"/>
          <w:szCs w:val="22"/>
        </w:rPr>
      </w:pPr>
    </w:p>
    <w:p w14:paraId="04E25CF4" w14:textId="77777777" w:rsidR="00BC3A83" w:rsidRPr="00F65177" w:rsidRDefault="00BC3A83" w:rsidP="00BC3A83">
      <w:pPr>
        <w:rPr>
          <w:rFonts w:cs="Arial"/>
          <w:szCs w:val="22"/>
        </w:rPr>
      </w:pPr>
      <w:r w:rsidRPr="00F65177">
        <w:rPr>
          <w:rFonts w:cs="Arial"/>
          <w:b/>
          <w:szCs w:val="22"/>
          <w:u w:val="single"/>
        </w:rPr>
        <w:t xml:space="preserve">UPDATED: </w:t>
      </w:r>
      <w:r w:rsidRPr="00F65177">
        <w:rPr>
          <w:rFonts w:cs="Arial"/>
          <w:b/>
          <w:i/>
          <w:szCs w:val="22"/>
          <w:u w:val="single"/>
        </w:rPr>
        <w:t>Jan 2023</w:t>
      </w:r>
      <w:r>
        <w:rPr>
          <w:rFonts w:cs="Arial"/>
          <w:i/>
          <w:szCs w:val="22"/>
        </w:rPr>
        <w:t xml:space="preserve"> – Lesley Hart - Owner</w:t>
      </w:r>
    </w:p>
    <w:p w14:paraId="04E25CF5" w14:textId="77777777" w:rsidR="009D08F3" w:rsidRPr="00BC3A83" w:rsidRDefault="009D08F3" w:rsidP="00BC3A83">
      <w:pPr>
        <w:rPr>
          <w:rFonts w:ascii="Arial" w:hAnsi="Arial" w:cs="Arial"/>
          <w:sz w:val="22"/>
          <w:szCs w:val="22"/>
        </w:rPr>
      </w:pPr>
    </w:p>
    <w:sectPr w:rsidR="009D08F3" w:rsidRPr="00BC3A83"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5CFB" w14:textId="77777777" w:rsidR="00A3276F" w:rsidRDefault="00A3276F" w:rsidP="00E07382">
      <w:r>
        <w:separator/>
      </w:r>
    </w:p>
  </w:endnote>
  <w:endnote w:type="continuationSeparator" w:id="0">
    <w:p w14:paraId="04E25CFC" w14:textId="77777777" w:rsidR="00A3276F" w:rsidRDefault="00A3276F" w:rsidP="00E07382">
      <w:r>
        <w:continuationSeparator/>
      </w:r>
    </w:p>
  </w:endnote>
  <w:endnote w:type="continuationNotice" w:id="1">
    <w:p w14:paraId="04E25CFD" w14:textId="77777777" w:rsidR="00A3276F" w:rsidRDefault="00A3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5CFF"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5CF8" w14:textId="77777777" w:rsidR="00A3276F" w:rsidRDefault="00A3276F" w:rsidP="00E07382">
      <w:r>
        <w:separator/>
      </w:r>
    </w:p>
  </w:footnote>
  <w:footnote w:type="continuationSeparator" w:id="0">
    <w:p w14:paraId="04E25CF9" w14:textId="77777777" w:rsidR="00A3276F" w:rsidRDefault="00A3276F" w:rsidP="00E07382">
      <w:r>
        <w:continuationSeparator/>
      </w:r>
    </w:p>
  </w:footnote>
  <w:footnote w:type="continuationNotice" w:id="1">
    <w:p w14:paraId="04E25CFA" w14:textId="77777777" w:rsidR="00A3276F" w:rsidRDefault="00A32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5CFE"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5717609">
    <w:abstractNumId w:val="84"/>
  </w:num>
  <w:num w:numId="2" w16cid:durableId="1262489041">
    <w:abstractNumId w:val="45"/>
  </w:num>
  <w:num w:numId="3" w16cid:durableId="1980962509">
    <w:abstractNumId w:val="75"/>
  </w:num>
  <w:num w:numId="4" w16cid:durableId="33189994">
    <w:abstractNumId w:val="74"/>
  </w:num>
  <w:num w:numId="5" w16cid:durableId="1970435751">
    <w:abstractNumId w:val="64"/>
  </w:num>
  <w:num w:numId="6" w16cid:durableId="1087193389">
    <w:abstractNumId w:val="29"/>
  </w:num>
  <w:num w:numId="7" w16cid:durableId="51975601">
    <w:abstractNumId w:val="65"/>
  </w:num>
  <w:num w:numId="8" w16cid:durableId="1288585612">
    <w:abstractNumId w:val="83"/>
  </w:num>
  <w:num w:numId="9" w16cid:durableId="352002865">
    <w:abstractNumId w:val="37"/>
  </w:num>
  <w:num w:numId="10" w16cid:durableId="2117367368">
    <w:abstractNumId w:val="38"/>
  </w:num>
  <w:num w:numId="11" w16cid:durableId="784085189">
    <w:abstractNumId w:val="80"/>
  </w:num>
  <w:num w:numId="12" w16cid:durableId="1427965845">
    <w:abstractNumId w:val="33"/>
  </w:num>
  <w:num w:numId="13" w16cid:durableId="268004481">
    <w:abstractNumId w:val="18"/>
  </w:num>
  <w:num w:numId="14" w16cid:durableId="1566799351">
    <w:abstractNumId w:val="49"/>
  </w:num>
  <w:num w:numId="15" w16cid:durableId="1432701017">
    <w:abstractNumId w:val="68"/>
  </w:num>
  <w:num w:numId="16" w16cid:durableId="369500378">
    <w:abstractNumId w:val="67"/>
  </w:num>
  <w:num w:numId="17" w16cid:durableId="149098593">
    <w:abstractNumId w:val="46"/>
  </w:num>
  <w:num w:numId="18" w16cid:durableId="1284846488">
    <w:abstractNumId w:val="41"/>
  </w:num>
  <w:num w:numId="19" w16cid:durableId="435252429">
    <w:abstractNumId w:val="16"/>
  </w:num>
  <w:num w:numId="20" w16cid:durableId="1758742740">
    <w:abstractNumId w:val="25"/>
  </w:num>
  <w:num w:numId="21" w16cid:durableId="906066643">
    <w:abstractNumId w:val="47"/>
  </w:num>
  <w:num w:numId="22" w16cid:durableId="966467467">
    <w:abstractNumId w:val="66"/>
  </w:num>
  <w:num w:numId="23" w16cid:durableId="1132282463">
    <w:abstractNumId w:val="26"/>
  </w:num>
  <w:num w:numId="24" w16cid:durableId="1666081627">
    <w:abstractNumId w:val="35"/>
  </w:num>
  <w:num w:numId="25" w16cid:durableId="526794411">
    <w:abstractNumId w:val="17"/>
  </w:num>
  <w:num w:numId="26" w16cid:durableId="396049969">
    <w:abstractNumId w:val="34"/>
  </w:num>
  <w:num w:numId="27" w16cid:durableId="1928804133">
    <w:abstractNumId w:val="1"/>
  </w:num>
  <w:num w:numId="28" w16cid:durableId="1237517713">
    <w:abstractNumId w:val="71"/>
  </w:num>
  <w:num w:numId="29" w16cid:durableId="1161317169">
    <w:abstractNumId w:val="54"/>
  </w:num>
  <w:num w:numId="30" w16cid:durableId="461654104">
    <w:abstractNumId w:val="76"/>
  </w:num>
  <w:num w:numId="31" w16cid:durableId="1657340566">
    <w:abstractNumId w:val="7"/>
  </w:num>
  <w:num w:numId="32" w16cid:durableId="1207834155">
    <w:abstractNumId w:val="4"/>
  </w:num>
  <w:num w:numId="33" w16cid:durableId="1919435941">
    <w:abstractNumId w:val="32"/>
  </w:num>
  <w:num w:numId="34" w16cid:durableId="1550416604">
    <w:abstractNumId w:val="14"/>
  </w:num>
  <w:num w:numId="35" w16cid:durableId="1990858624">
    <w:abstractNumId w:val="60"/>
  </w:num>
  <w:num w:numId="36" w16cid:durableId="1108507346">
    <w:abstractNumId w:val="19"/>
  </w:num>
  <w:num w:numId="37" w16cid:durableId="948925948">
    <w:abstractNumId w:val="50"/>
  </w:num>
  <w:num w:numId="38" w16cid:durableId="1867981207">
    <w:abstractNumId w:val="72"/>
  </w:num>
  <w:num w:numId="39" w16cid:durableId="1510636083">
    <w:abstractNumId w:val="10"/>
  </w:num>
  <w:num w:numId="40" w16cid:durableId="1469785">
    <w:abstractNumId w:val="2"/>
  </w:num>
  <w:num w:numId="41" w16cid:durableId="841046216">
    <w:abstractNumId w:val="15"/>
  </w:num>
  <w:num w:numId="42" w16cid:durableId="1452435082">
    <w:abstractNumId w:val="42"/>
  </w:num>
  <w:num w:numId="43" w16cid:durableId="596182527">
    <w:abstractNumId w:val="78"/>
  </w:num>
  <w:num w:numId="44" w16cid:durableId="390886897">
    <w:abstractNumId w:val="57"/>
  </w:num>
  <w:num w:numId="45" w16cid:durableId="844438257">
    <w:abstractNumId w:val="20"/>
  </w:num>
  <w:num w:numId="46" w16cid:durableId="1588802577">
    <w:abstractNumId w:val="51"/>
  </w:num>
  <w:num w:numId="47" w16cid:durableId="986395296">
    <w:abstractNumId w:val="27"/>
  </w:num>
  <w:num w:numId="48" w16cid:durableId="335614691">
    <w:abstractNumId w:val="40"/>
  </w:num>
  <w:num w:numId="49" w16cid:durableId="1342465998">
    <w:abstractNumId w:val="86"/>
  </w:num>
  <w:num w:numId="50" w16cid:durableId="624771633">
    <w:abstractNumId w:val="22"/>
  </w:num>
  <w:num w:numId="51" w16cid:durableId="137112255">
    <w:abstractNumId w:val="52"/>
  </w:num>
  <w:num w:numId="52" w16cid:durableId="742530393">
    <w:abstractNumId w:val="63"/>
  </w:num>
  <w:num w:numId="53" w16cid:durableId="1338119284">
    <w:abstractNumId w:val="24"/>
  </w:num>
  <w:num w:numId="54" w16cid:durableId="761804351">
    <w:abstractNumId w:val="0"/>
  </w:num>
  <w:num w:numId="55" w16cid:durableId="2130395220">
    <w:abstractNumId w:val="70"/>
  </w:num>
  <w:num w:numId="56" w16cid:durableId="839736334">
    <w:abstractNumId w:val="6"/>
  </w:num>
  <w:num w:numId="57" w16cid:durableId="449394076">
    <w:abstractNumId w:val="43"/>
  </w:num>
  <w:num w:numId="58" w16cid:durableId="1174340796">
    <w:abstractNumId w:val="28"/>
  </w:num>
  <w:num w:numId="59" w16cid:durableId="217202754">
    <w:abstractNumId w:val="3"/>
  </w:num>
  <w:num w:numId="60" w16cid:durableId="1661034376">
    <w:abstractNumId w:val="23"/>
  </w:num>
  <w:num w:numId="61" w16cid:durableId="1607151349">
    <w:abstractNumId w:val="77"/>
  </w:num>
  <w:num w:numId="62" w16cid:durableId="57899041">
    <w:abstractNumId w:val="36"/>
  </w:num>
  <w:num w:numId="63" w16cid:durableId="145823910">
    <w:abstractNumId w:val="9"/>
  </w:num>
  <w:num w:numId="64" w16cid:durableId="1300182218">
    <w:abstractNumId w:val="48"/>
  </w:num>
  <w:num w:numId="65" w16cid:durableId="1647975572">
    <w:abstractNumId w:val="55"/>
  </w:num>
  <w:num w:numId="66" w16cid:durableId="1238785165">
    <w:abstractNumId w:val="8"/>
  </w:num>
  <w:num w:numId="67" w16cid:durableId="481628671">
    <w:abstractNumId w:val="81"/>
  </w:num>
  <w:num w:numId="68" w16cid:durableId="1365014518">
    <w:abstractNumId w:val="62"/>
  </w:num>
  <w:num w:numId="69" w16cid:durableId="837813213">
    <w:abstractNumId w:val="30"/>
  </w:num>
  <w:num w:numId="70" w16cid:durableId="308024592">
    <w:abstractNumId w:val="5"/>
  </w:num>
  <w:num w:numId="71" w16cid:durableId="1511988450">
    <w:abstractNumId w:val="87"/>
  </w:num>
  <w:num w:numId="72" w16cid:durableId="1711802633">
    <w:abstractNumId w:val="31"/>
  </w:num>
  <w:num w:numId="73" w16cid:durableId="1069578526">
    <w:abstractNumId w:val="85"/>
  </w:num>
  <w:num w:numId="74" w16cid:durableId="402995419">
    <w:abstractNumId w:val="39"/>
  </w:num>
  <w:num w:numId="75" w16cid:durableId="936015149">
    <w:abstractNumId w:val="82"/>
  </w:num>
  <w:num w:numId="76" w16cid:durableId="284192366">
    <w:abstractNumId w:val="79"/>
  </w:num>
  <w:num w:numId="77" w16cid:durableId="841048074">
    <w:abstractNumId w:val="53"/>
  </w:num>
  <w:num w:numId="78" w16cid:durableId="1033075465">
    <w:abstractNumId w:val="73"/>
  </w:num>
  <w:num w:numId="79" w16cid:durableId="2111006387">
    <w:abstractNumId w:val="44"/>
  </w:num>
  <w:num w:numId="80" w16cid:durableId="1880823952">
    <w:abstractNumId w:val="21"/>
  </w:num>
  <w:num w:numId="81" w16cid:durableId="232352011">
    <w:abstractNumId w:val="59"/>
  </w:num>
  <w:num w:numId="82" w16cid:durableId="1330983060">
    <w:abstractNumId w:val="69"/>
  </w:num>
  <w:num w:numId="83" w16cid:durableId="484319866">
    <w:abstractNumId w:val="13"/>
  </w:num>
  <w:num w:numId="84" w16cid:durableId="602417198">
    <w:abstractNumId w:val="11"/>
  </w:num>
  <w:num w:numId="85" w16cid:durableId="1665428244">
    <w:abstractNumId w:val="61"/>
  </w:num>
  <w:num w:numId="86" w16cid:durableId="632951364">
    <w:abstractNumId w:val="12"/>
  </w:num>
  <w:num w:numId="87" w16cid:durableId="1150288943">
    <w:abstractNumId w:val="56"/>
  </w:num>
  <w:num w:numId="88" w16cid:durableId="1719547170">
    <w:abstractNumId w:val="58"/>
  </w:num>
  <w:num w:numId="89" w16cid:durableId="13147183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3F5938"/>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6AA9"/>
    <w:rsid w:val="004611DD"/>
    <w:rsid w:val="00461D1A"/>
    <w:rsid w:val="00463A86"/>
    <w:rsid w:val="00464583"/>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0031"/>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2E0F"/>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6AE8"/>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71D"/>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276F"/>
    <w:rsid w:val="00A36B96"/>
    <w:rsid w:val="00A56EFB"/>
    <w:rsid w:val="00A72E07"/>
    <w:rsid w:val="00A7404D"/>
    <w:rsid w:val="00A82E06"/>
    <w:rsid w:val="00A858C8"/>
    <w:rsid w:val="00A96108"/>
    <w:rsid w:val="00AA1EC1"/>
    <w:rsid w:val="00AA49D0"/>
    <w:rsid w:val="00AA5F23"/>
    <w:rsid w:val="00AA6CF6"/>
    <w:rsid w:val="00AA7CB3"/>
    <w:rsid w:val="00AB05EE"/>
    <w:rsid w:val="00AB4DDA"/>
    <w:rsid w:val="00AB7324"/>
    <w:rsid w:val="00AC7BC8"/>
    <w:rsid w:val="00AD0BA9"/>
    <w:rsid w:val="00AD1221"/>
    <w:rsid w:val="00AD269E"/>
    <w:rsid w:val="00AD4F04"/>
    <w:rsid w:val="00AE2E4D"/>
    <w:rsid w:val="00AE6FB9"/>
    <w:rsid w:val="00AF0EBF"/>
    <w:rsid w:val="00AF2715"/>
    <w:rsid w:val="00AF515A"/>
    <w:rsid w:val="00AF54E9"/>
    <w:rsid w:val="00AF5518"/>
    <w:rsid w:val="00B01904"/>
    <w:rsid w:val="00B02EDB"/>
    <w:rsid w:val="00B15969"/>
    <w:rsid w:val="00B16FEC"/>
    <w:rsid w:val="00B21F50"/>
    <w:rsid w:val="00B300CD"/>
    <w:rsid w:val="00B30505"/>
    <w:rsid w:val="00B32D0A"/>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3A83"/>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178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C61DE"/>
    <w:rsid w:val="00ED3EEC"/>
    <w:rsid w:val="00ED4A68"/>
    <w:rsid w:val="00ED55FC"/>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634C0"/>
    <w:rsid w:val="00F72502"/>
    <w:rsid w:val="00F74966"/>
    <w:rsid w:val="00F8130F"/>
    <w:rsid w:val="00F82510"/>
    <w:rsid w:val="00F82C51"/>
    <w:rsid w:val="00F85543"/>
    <w:rsid w:val="00F8765C"/>
    <w:rsid w:val="00F91AE9"/>
    <w:rsid w:val="00F92264"/>
    <w:rsid w:val="00F92DE2"/>
    <w:rsid w:val="00FA2A43"/>
    <w:rsid w:val="00FA3F9F"/>
    <w:rsid w:val="00FB746A"/>
    <w:rsid w:val="00FC7130"/>
    <w:rsid w:val="00FD0112"/>
    <w:rsid w:val="00FD09AB"/>
    <w:rsid w:val="00FE2DA9"/>
    <w:rsid w:val="00FE317E"/>
    <w:rsid w:val="00FE352C"/>
    <w:rsid w:val="00FF17D2"/>
    <w:rsid w:val="00FF51DD"/>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5CCE"/>
  <w15:docId w15:val="{88F7DEDE-54D0-4DB7-9116-77945729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C2391-CEA7-4978-8F19-7489E4CDF226}">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Chelsey Hart</cp:lastModifiedBy>
  <cp:revision>2</cp:revision>
  <cp:lastPrinted>2022-02-24T11:08:00Z</cp:lastPrinted>
  <dcterms:created xsi:type="dcterms:W3CDTF">2023-08-25T12:34:00Z</dcterms:created>
  <dcterms:modified xsi:type="dcterms:W3CDTF">2023-08-25T12:34:00Z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